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Приложение № 2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УТВЕРЖДЕН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постановлением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Администрации Тазовского района</w:t>
      </w: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от 11 сентября 2020 года № 723</w:t>
      </w:r>
      <w:bookmarkStart w:id="0" w:name="_GoBack"/>
      <w:bookmarkEnd w:id="0"/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left="5103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ПОРЯДОК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оценки налоговых расходов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муниципального образования Тазовский район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I. Общие положения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Настоящий Порядок определяет порядок проведения оценки налоговых расходов муниципального образования Тазовский район, правила формирования информации о нормативных, целевых и фискальных характеристиках налоговых расходов муниципального образования Тазовский район, а также порядок обобщения результатов оценки эффективности налоговых расходов муниципального образования Тазовский район                                (далее - Порядок, налоговые расходы, муниципальное образование).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настоящем Порядке применяются следующие понятия и термины: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налоговых расходов - комплекс мероприятий по оценке объемов налоговых расходов, обусловленных льготами, предоставленными плательщикам, а также по оценке эффективности налоговых расходов;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объемов налоговых расходов - определение объемов выпадающих доходов бюджета муниципального образования, обусловленных льготами, предоставленными плательщикам;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эффективности налоговых расходов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социальные налоговые расходы - целевая категория налоговых расходов, обусловленных необходимостью обеспечения социальной защиты (поддержки) населения;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стимулирующие налоговые расходы -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муниципального образования;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технические налоговые расходы - целевая категория налоговых расходов, предполагающих уменьшение расходов плательщиков, воспользовавшихся льготами, финансовое обеспечение которых </w:t>
      </w:r>
      <w:r>
        <w:rPr>
          <w:rFonts w:ascii="PT Astra Serif" w:hAnsi="PT Astra Serif"/>
          <w:sz w:val="28"/>
          <w:szCs w:val="28"/>
        </w:rPr>
        <w:lastRenderedPageBreak/>
        <w:t>осуществляется в полном объеме или частично за счет бюджета муниципального образования;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нормативные характеристики налоговых расходов – сведения                          о положениях муниципальных правовых актов муниципального образования, которыми предусматриваются налоговые льготы, наименованиях налогов,                         по которым установлены льготы, категориях плательщиков, для которых предусмотрены льготы;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фискальные характеристики налоговых расходов - сведения об объеме льгот, предоставленных плательщикам, о численности получателей льгот                                и об объеме налогов, задекларированных ими для уплаты в бюджет муниципального образования;</w:t>
      </w:r>
    </w:p>
    <w:p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целевые характеристики налоговых расходов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Иные термины и определения, используемые в настоящем Порядке, соответствуют терминам и определениям, установленным Общими требованиями к оценке налоговых расходов субъектов Российской Федерации    и муниципальных образований, утвержденными постановлением Правительства Российской Федерации от 22 июня 2019 года № 796 (далее - Общие требования).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Уполномоченным органом, осуществляющим взаимодействие                                      с Управлением Федеральной налоговой службы по Ямало-Ненецкому автономному округу (далее - УФНС России по ЯНАО) и кураторами налоговых расходов в целях реализации настоящего Порядка, является Департамент финансов Администрации Тазовского района (далее – Департамент финансов).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целях оценки налоговых расходов Департамент финансов:</w:t>
      </w:r>
    </w:p>
    <w:p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формирует и утверждает перечень налоговых расходов муниципального образования (далее – перечень налоговых расходов);</w:t>
      </w:r>
    </w:p>
    <w:p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сбор и формирование информации о нормативных, целевых и фискальных характеристиках налоговых расходов, необходимой                            для проведения их оценки;</w:t>
      </w:r>
    </w:p>
    <w:p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обобщение результатов оценки эффективности налоговых расходов, проводимой кураторами налоговых расходов;</w:t>
      </w:r>
    </w:p>
    <w:p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формирует данные для оценки эффективности налоговых расходов.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налоговых расходов направлена на оптимизацию перечня налоговых расходов.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II. Правила формирования информации о нормативных, целевых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фискальных характеристиках налоговых расходов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Департамент финансов ежегодно осуществляет сбор и формирование информации о нормативных, целевых и фискальных характеристиках налоговых расходов в разрезе показателей, включенных в перечень показателей </w:t>
      </w:r>
      <w:r>
        <w:rPr>
          <w:rFonts w:ascii="PT Astra Serif" w:hAnsi="PT Astra Serif"/>
          <w:sz w:val="28"/>
          <w:szCs w:val="28"/>
        </w:rPr>
        <w:lastRenderedPageBreak/>
        <w:t>для проведения оценки налоговых расходов, согласно приложению № 1                               к настоящему Порядку (далее - перечень показателей).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Учет информации, указанной в абзаце первом настоящего пункта, осуществляется Департаментом финансов в электронном виде (в форме электронной таблицы).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информации о нормативных характеристиках налоговых расходов по пунктам 1 - 7 перечня показателей осуществляется Департаментом финансов в срок до 01 апреля текущего финансового года                           с учетом положений муниципальных правовых актов, которыми устанавливаются налоговые льготы, освобождениями и иными преференциями по налогам (далее - льготы).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информации о целевых характеристиках налоговых расходов по пунктам 10, 13, 14 и 15 перечня показателей осуществляется кураторами налоговых расходов в соответствии с перечнем налоговых расходов за отчетный финансовый год.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информации о целевых характеристиках налоговых расходов по пунктам 8, 9, 11 и 12 перечня показателей осуществляется Департаментом финансов в срок до 01 апреля текущего финансового года.</w:t>
      </w:r>
    </w:p>
    <w:p>
      <w:pPr>
        <w:pStyle w:val="a3"/>
        <w:numPr>
          <w:ilvl w:val="1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информации о фискальных характеристиках налоговых расходов осуществляется кураторами налоговых расходов                           на основании:</w:t>
      </w:r>
    </w:p>
    <w:p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информации, сформированной и предоставленной УФНС России                              по ЯНАО в соответствии с Общими требованиями;</w:t>
      </w:r>
    </w:p>
    <w:p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результатов оценки эффективности налоговых расходов.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УФНС России по ЯНАО формирует информацию о фискальных характеристиках налоговых расходов в порядке и сроки, установленные Общими требованиями, и направляет в Департамент финансов. 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Департамент финансов в течение 5 рабочих с момента предоставления УФНС России по ЯНАО информации о фискальных характеристиках налоговых расходов, направляет ее одновременно                                   с информацией, предусмотренной пунктами 1 - 9 и 11 - 12 перечня показателей, кураторам налоговых расходов.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Кураторы налоговых расходов в срок до 15 мая текущего финансового года направляют в Департамент финансов следующую информацию о фискальных и целевых характеристиках налоговых расходов:</w:t>
      </w:r>
    </w:p>
    <w:p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фактическом объеме льгот для плательщиков за отчетный финансовый год, об оценке в текущем финансовом году, а также прогнозные данные на очередной финансовый год и плановый период по каждому налоговому расходу;</w:t>
      </w:r>
    </w:p>
    <w:p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численности плательщиков налогов, воспользовавшихся льготой,                       за отчетный финансовый год;</w:t>
      </w:r>
    </w:p>
    <w:p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информацию, предусмотренную абзацем первым пункта 1.8 настоящего Порядка.</w:t>
      </w:r>
    </w:p>
    <w:p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информацию о результатах оценки эффективности налоговых расходов, предусмотренную пунктом 1.18 настоящего Порядка.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III. Порядок проведения оценки налоговых расходов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налоговых расходов, включающая в себя оценку объемов налоговых расходов, обусловленных льготами, предоставленными плательщикам, и оценку эффективности налоговых расходов, осуществляется кураторами налоговых расходов.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эффективности налоговых расходов включает оценку целесообразности налоговых расходов и оценку результативности налоговых расходов.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эффективности налоговых расходов проводится в текущем финансовом году за отчетный год.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Критериями целесообразности налоговых расходов являются:</w:t>
      </w:r>
    </w:p>
    <w:p>
      <w:pPr>
        <w:pStyle w:val="a3"/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соответствие налоговых расходов целям муниципальных программ муниципального образования (далее – муниципальная программа), подпрограмм муниципальных программ и (или) целям социально-экономической политики муниципального образования, не относящимся                        к муниципальным программам.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Налоговый расход должен оказывать прямое или косвенное влияние                       на достижение целей муниципальной программы, подпрограммы муниципальной программы и (или) целей социально-экономической политики муниципального образования. Прямое влияние предполагает, что связь между налоговыми расходами и вышеуказанными целями должна быть понятной                     и однозначно воспринимаемой. Косвенное влияние должно сопровождаться описанием обоснования взаимосвязи между налоговым расходом                                    и вышеуказанными целями.</w:t>
      </w:r>
    </w:p>
    <w:p>
      <w:pPr>
        <w:pStyle w:val="a3"/>
        <w:numPr>
          <w:ilvl w:val="2"/>
          <w:numId w:val="19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                      за 5-летний период.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определении востребованности льготы под общей численностью плательщиков понимается количество плательщиков, потенциально имеющих право на получение льготы.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Востребованность плательщиками предоставленной льготы определяется по следующей формуле: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V</w:t>
      </w:r>
      <w:r>
        <w:rPr>
          <w:rFonts w:ascii="PT Astra Serif" w:hAnsi="PT Astra Serif"/>
          <w:sz w:val="28"/>
          <w:szCs w:val="28"/>
        </w:rPr>
        <w:t>=</w:t>
      </w:r>
      <w:r>
        <w:rPr>
          <w:rStyle w:val="normaltextrun"/>
          <w:rFonts w:ascii="PT Astra Serif" w:hAnsi="PT Astra Serif"/>
          <w:sz w:val="28"/>
          <w:szCs w:val="28"/>
        </w:rPr>
        <w:t>(Кл</w:t>
      </w:r>
      <w:r>
        <w:rPr>
          <w:rStyle w:val="spellingerror"/>
          <w:rFonts w:ascii="PT Astra Serif" w:hAnsi="PT Astra Serif"/>
          <w:sz w:val="28"/>
          <w:szCs w:val="28"/>
          <w:vertAlign w:val="subscript"/>
          <w:lang w:val="en-US"/>
        </w:rPr>
        <w:t>i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-4</w:t>
      </w:r>
      <w:r>
        <w:rPr>
          <w:rStyle w:val="normaltextrun"/>
          <w:rFonts w:ascii="PT Astra Serif" w:hAnsi="PT Astra Serif"/>
          <w:sz w:val="28"/>
          <w:szCs w:val="28"/>
        </w:rPr>
        <w:t>+</w:t>
      </w:r>
      <w:r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>
        <w:rPr>
          <w:rStyle w:val="normaltextrun"/>
          <w:rFonts w:ascii="PT Astra Serif" w:hAnsi="PT Astra Serif"/>
          <w:sz w:val="28"/>
          <w:szCs w:val="28"/>
        </w:rPr>
        <w:t>Кл</w:t>
      </w:r>
      <w:r>
        <w:rPr>
          <w:rStyle w:val="spellingerror"/>
          <w:rFonts w:ascii="PT Astra Serif" w:hAnsi="PT Astra Serif"/>
          <w:sz w:val="28"/>
          <w:szCs w:val="28"/>
          <w:vertAlign w:val="subscript"/>
          <w:lang w:val="en-US"/>
        </w:rPr>
        <w:t>i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-3</w:t>
      </w:r>
      <w:r>
        <w:rPr>
          <w:rStyle w:val="normaltextrun"/>
          <w:rFonts w:ascii="PT Astra Serif" w:hAnsi="PT Astra Serif"/>
          <w:sz w:val="28"/>
          <w:szCs w:val="28"/>
        </w:rPr>
        <w:t>+</w:t>
      </w:r>
      <w:r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>
        <w:rPr>
          <w:rStyle w:val="normaltextrun"/>
          <w:rFonts w:ascii="PT Astra Serif" w:hAnsi="PT Astra Serif"/>
          <w:sz w:val="28"/>
          <w:szCs w:val="28"/>
        </w:rPr>
        <w:t>Кл</w:t>
      </w:r>
      <w:r>
        <w:rPr>
          <w:rStyle w:val="spellingerror"/>
          <w:rFonts w:ascii="PT Astra Serif" w:hAnsi="PT Astra Serif"/>
          <w:sz w:val="28"/>
          <w:szCs w:val="28"/>
          <w:vertAlign w:val="subscript"/>
          <w:lang w:val="en-US"/>
        </w:rPr>
        <w:t>i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-2 </w:t>
      </w:r>
      <w:r>
        <w:rPr>
          <w:rStyle w:val="normaltextrun"/>
          <w:rFonts w:ascii="PT Astra Serif" w:hAnsi="PT Astra Serif"/>
          <w:sz w:val="28"/>
          <w:szCs w:val="28"/>
        </w:rPr>
        <w:t>+</w:t>
      </w:r>
      <w:r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>
        <w:rPr>
          <w:rStyle w:val="normaltextrun"/>
          <w:rFonts w:ascii="PT Astra Serif" w:hAnsi="PT Astra Serif"/>
          <w:sz w:val="28"/>
          <w:szCs w:val="28"/>
        </w:rPr>
        <w:t>Кл</w:t>
      </w:r>
      <w:r>
        <w:rPr>
          <w:rStyle w:val="spellingerror"/>
          <w:rFonts w:ascii="PT Astra Serif" w:hAnsi="PT Astra Serif"/>
          <w:sz w:val="28"/>
          <w:szCs w:val="28"/>
          <w:vertAlign w:val="subscript"/>
          <w:lang w:val="en-US"/>
        </w:rPr>
        <w:t>i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-1</w:t>
      </w:r>
      <w:r>
        <w:rPr>
          <w:rStyle w:val="normaltextrun"/>
          <w:rFonts w:ascii="PT Astra Serif" w:hAnsi="PT Astra Serif"/>
          <w:sz w:val="28"/>
          <w:szCs w:val="28"/>
        </w:rPr>
        <w:t>+</w:t>
      </w:r>
      <w:r>
        <w:rPr>
          <w:rStyle w:val="normaltextrun"/>
          <w:rFonts w:ascii="PT Astra Serif" w:hAnsi="PT Astra Serif"/>
          <w:color w:val="000000"/>
          <w:sz w:val="28"/>
          <w:szCs w:val="28"/>
        </w:rPr>
        <w:t> </w:t>
      </w:r>
      <w:r>
        <w:rPr>
          <w:rStyle w:val="normaltextrun"/>
          <w:rFonts w:ascii="PT Astra Serif" w:hAnsi="PT Astra Serif"/>
          <w:sz w:val="28"/>
          <w:szCs w:val="28"/>
        </w:rPr>
        <w:t>Кл</w:t>
      </w:r>
      <w:r>
        <w:rPr>
          <w:rStyle w:val="spellingerror"/>
          <w:rFonts w:ascii="PT Astra Serif" w:hAnsi="PT Astra Serif"/>
          <w:sz w:val="28"/>
          <w:szCs w:val="28"/>
          <w:vertAlign w:val="subscript"/>
          <w:lang w:val="en-US"/>
        </w:rPr>
        <w:t>i</w:t>
      </w:r>
      <w:r>
        <w:rPr>
          <w:rStyle w:val="normaltextrun"/>
          <w:rFonts w:ascii="PT Astra Serif" w:hAnsi="PT Astra Serif"/>
          <w:sz w:val="28"/>
          <w:szCs w:val="28"/>
        </w:rPr>
        <w:t>)/(К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i-4</w:t>
      </w:r>
      <w:r>
        <w:rPr>
          <w:rStyle w:val="normaltextrun"/>
          <w:rFonts w:ascii="PT Astra Serif" w:hAnsi="PT Astra Serif"/>
          <w:sz w:val="28"/>
          <w:szCs w:val="28"/>
        </w:rPr>
        <w:t>+ К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i-3</w:t>
      </w:r>
      <w:r>
        <w:rPr>
          <w:rStyle w:val="normaltextrun"/>
          <w:rFonts w:ascii="PT Astra Serif" w:hAnsi="PT Astra Serif"/>
          <w:sz w:val="28"/>
          <w:szCs w:val="28"/>
        </w:rPr>
        <w:t>+ К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i-2 </w:t>
      </w:r>
      <w:r>
        <w:rPr>
          <w:rStyle w:val="normaltextrun"/>
          <w:rFonts w:ascii="PT Astra Serif" w:hAnsi="PT Astra Serif"/>
          <w:sz w:val="28"/>
          <w:szCs w:val="28"/>
        </w:rPr>
        <w:t>+ К</w:t>
      </w:r>
      <w:r>
        <w:rPr>
          <w:rStyle w:val="normaltextrun"/>
          <w:rFonts w:ascii="PT Astra Serif" w:hAnsi="PT Astra Serif"/>
          <w:sz w:val="28"/>
          <w:szCs w:val="28"/>
          <w:vertAlign w:val="subscript"/>
        </w:rPr>
        <w:t>i-1</w:t>
      </w:r>
      <w:r>
        <w:rPr>
          <w:rStyle w:val="normaltextrun"/>
          <w:rFonts w:ascii="PT Astra Serif" w:hAnsi="PT Astra Serif"/>
          <w:sz w:val="28"/>
          <w:szCs w:val="28"/>
        </w:rPr>
        <w:t>+ </w:t>
      </w:r>
      <w:r>
        <w:rPr>
          <w:rStyle w:val="spellingerror"/>
          <w:rFonts w:ascii="PT Astra Serif" w:hAnsi="PT Astra Serif"/>
          <w:sz w:val="28"/>
          <w:szCs w:val="28"/>
        </w:rPr>
        <w:t>К</w:t>
      </w:r>
      <w:r>
        <w:rPr>
          <w:rStyle w:val="spellingerror"/>
          <w:rFonts w:ascii="PT Astra Serif" w:hAnsi="PT Astra Serif"/>
          <w:sz w:val="28"/>
          <w:szCs w:val="28"/>
          <w:vertAlign w:val="subscript"/>
        </w:rPr>
        <w:t>i</w:t>
      </w:r>
      <w:r>
        <w:rPr>
          <w:rStyle w:val="normaltextrun"/>
          <w:rFonts w:ascii="PT Astra Serif" w:hAnsi="PT Astra Serif"/>
          <w:sz w:val="28"/>
          <w:szCs w:val="28"/>
        </w:rPr>
        <w:t>) х 100%, </w:t>
      </w:r>
      <w:r>
        <w:rPr>
          <w:rFonts w:ascii="PT Astra Serif" w:hAnsi="PT Astra Serif"/>
          <w:sz w:val="28"/>
          <w:szCs w:val="28"/>
        </w:rPr>
        <w:t>где: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V - востребованность плательщиками предоставленной льготы;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i – отчетный год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Кл – количество плательщиков, воспользовавшихся правом на льготу по налоговому расходу, в i-м году;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К – количество плательщиков, потенциально имеющих право                                     на получение льготы по соответствующему налоговому расходу в i-м году.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Куратору налогового расхода необходимо определить и по согласованию с Департаментом финансов утвердить пороговое значение, при котором льгота является востребованной.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Если льгота действует менее 5 лет, то оценка ее востребованности проводится за фактический и прогнозный периоды действия льготы, общая продолжительность которых составляет 5 лет.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Налоговый расход должен соответствовать критериям целесообразности, указанным в пункте 1.13 настоящего Порядка. В случае несоответствия налогового расхода хотя бы одному из критериев, указанных                     в пункте 1.13 настоящего Порядка, куратору налогового расхода необходимо представить в Департамент финансов предложения с обоснованием необходимости сохранения, уточнения, отмены льготы для плательщиков, обуславливающей налоговый расход.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не востребованности плательщиками предоставленной льготы                      в течение 5 лет, оценка результативности не проводится.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на значение которого оказывает влияние налоговый расход.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Оценке подлежит вклад предусмотренных для плательщиков льгот                        в изменение значения показателя (индикатора)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 по следующей формуле: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hd w:val="clear" w:color="auto" w:fill="FFFFFF"/>
        <w:spacing w:after="0" w:line="240" w:lineRule="auto"/>
        <w:ind w:right="60"/>
        <w:jc w:val="center"/>
        <w:textAlignment w:val="baseline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О</w:t>
      </w:r>
      <w:r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вклад</w:t>
      </w:r>
      <w:r>
        <w:rPr>
          <w:rFonts w:ascii="PT Astra Serif" w:eastAsia="Times New Roman" w:hAnsi="PT Astra Serif"/>
          <w:sz w:val="28"/>
          <w:szCs w:val="28"/>
          <w:lang w:eastAsia="ru-RU"/>
        </w:rPr>
        <w:t> = П</w:t>
      </w:r>
      <w:r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с/л </w:t>
      </w:r>
      <w:r>
        <w:rPr>
          <w:rFonts w:ascii="PT Astra Serif" w:eastAsia="Times New Roman" w:hAnsi="PT Astra Serif"/>
          <w:sz w:val="28"/>
          <w:szCs w:val="28"/>
          <w:lang w:eastAsia="ru-RU"/>
        </w:rPr>
        <w:t>- П</w:t>
      </w:r>
      <w:r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без/л</w:t>
      </w:r>
      <w:r>
        <w:rPr>
          <w:rFonts w:ascii="PT Astra Serif" w:eastAsia="Times New Roman" w:hAnsi="PT Astra Serif"/>
          <w:sz w:val="28"/>
          <w:szCs w:val="28"/>
          <w:lang w:eastAsia="ru-RU"/>
        </w:rPr>
        <w:t>, где:</w:t>
      </w:r>
    </w:p>
    <w:p>
      <w:pPr>
        <w:shd w:val="clear" w:color="auto" w:fill="FFFFFF"/>
        <w:spacing w:after="0" w:line="240" w:lineRule="auto"/>
        <w:ind w:right="60" w:firstLine="705"/>
        <w:jc w:val="center"/>
        <w:textAlignment w:val="baseline"/>
        <w:rPr>
          <w:rFonts w:ascii="PT Astra Serif" w:eastAsia="Times New Roman" w:hAnsi="PT Astra Serif" w:cs="Segoe UI"/>
          <w:sz w:val="28"/>
          <w:szCs w:val="28"/>
          <w:lang w:eastAsia="ru-RU"/>
        </w:rPr>
      </w:pPr>
    </w:p>
    <w:p>
      <w:pPr>
        <w:shd w:val="clear" w:color="auto" w:fill="FFFFFF"/>
        <w:spacing w:after="0" w:line="240" w:lineRule="auto"/>
        <w:ind w:right="60" w:firstLine="705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О</w:t>
      </w:r>
      <w:r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 xml:space="preserve">вклад – </w:t>
      </w:r>
      <w:r>
        <w:rPr>
          <w:rFonts w:ascii="PT Astra Serif" w:hAnsi="PT Astra Serif"/>
          <w:sz w:val="28"/>
          <w:szCs w:val="28"/>
        </w:rPr>
        <w:t>оценка вклада налогового расхода</w:t>
      </w:r>
      <w:r>
        <w:t xml:space="preserve"> </w:t>
      </w:r>
      <w:r>
        <w:rPr>
          <w:rFonts w:ascii="PT Astra Serif" w:hAnsi="PT Astra Serif"/>
          <w:sz w:val="28"/>
          <w:szCs w:val="28"/>
        </w:rPr>
        <w:t>в изменение значения показателя (индикатора) достижения целей;</w:t>
      </w:r>
    </w:p>
    <w:p>
      <w:pPr>
        <w:shd w:val="clear" w:color="auto" w:fill="FFFFFF"/>
        <w:spacing w:after="0" w:line="240" w:lineRule="auto"/>
        <w:ind w:right="60" w:firstLine="705"/>
        <w:jc w:val="both"/>
        <w:textAlignment w:val="baseline"/>
        <w:rPr>
          <w:rFonts w:ascii="PT Astra Serif" w:eastAsia="Times New Roman" w:hAnsi="PT Astra Serif" w:cs="Segoe UI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</w:t>
      </w:r>
      <w:r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с/л </w:t>
      </w:r>
      <w:r>
        <w:rPr>
          <w:rFonts w:ascii="PT Astra Serif" w:eastAsia="Times New Roman" w:hAnsi="PT Astra Serif"/>
          <w:sz w:val="28"/>
          <w:szCs w:val="28"/>
          <w:lang w:eastAsia="ru-RU"/>
        </w:rPr>
        <w:t>– значение показателя (индикатора) достижения целей с учетом льгот; </w:t>
      </w:r>
    </w:p>
    <w:p>
      <w:pPr>
        <w:shd w:val="clear" w:color="auto" w:fill="FFFFFF"/>
        <w:spacing w:after="0" w:line="240" w:lineRule="auto"/>
        <w:ind w:right="60" w:firstLine="705"/>
        <w:jc w:val="both"/>
        <w:textAlignment w:val="baseline"/>
        <w:rPr>
          <w:rFonts w:ascii="PT Astra Serif" w:eastAsia="Times New Roman" w:hAnsi="PT Astra Serif" w:cs="Segoe UI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</w:t>
      </w:r>
      <w:r>
        <w:rPr>
          <w:rFonts w:ascii="PT Astra Serif" w:eastAsia="Times New Roman" w:hAnsi="PT Astra Serif"/>
          <w:sz w:val="28"/>
          <w:szCs w:val="28"/>
          <w:vertAlign w:val="subscript"/>
          <w:lang w:eastAsia="ru-RU"/>
        </w:rPr>
        <w:t>без/л </w:t>
      </w:r>
      <w:r>
        <w:rPr>
          <w:rFonts w:ascii="PT Astra Serif" w:eastAsia="Times New Roman" w:hAnsi="PT Astra Serif"/>
          <w:sz w:val="28"/>
          <w:szCs w:val="28"/>
          <w:lang w:eastAsia="ru-RU"/>
        </w:rPr>
        <w:t>– значение показателя (индикатора) достижения целей без учета льгот.  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результативности налоговых расходов также включает оценку бюджетной эффективности налоговых расходов.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целях оценки бюджетной эффективности налоговых расходов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</w:t>
      </w:r>
      <w:r>
        <w:rPr>
          <w:rFonts w:ascii="PT Astra Serif" w:hAnsi="PT Astra Serif"/>
          <w:sz w:val="28"/>
          <w:szCs w:val="28"/>
        </w:rPr>
        <w:lastRenderedPageBreak/>
        <w:t>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Сравнительный анализ, указанный в абзаце первом настоящего пункта, включает сравнение объемов расходов бюджета муниципального образования         в случае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 муниципального образования, не относящихся                     к муниципальным программам, на 1 рубль налоговых расходов и на 1 рубль расходов бюджета муниципального образования для достижения того                         же показателя (индикатора) в случае применения альтернативных механизмов) и рассчитывается по следующим формулам: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0"/>
          <w:szCs w:val="20"/>
        </w:rPr>
        <w:t>бюдж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0"/>
          <w:szCs w:val="20"/>
        </w:rPr>
        <w:t xml:space="preserve">рез </w:t>
      </w:r>
      <w:r>
        <w:rPr>
          <w:rFonts w:ascii="PT Astra Serif" w:hAnsi="PT Astra Serif"/>
          <w:sz w:val="28"/>
          <w:szCs w:val="28"/>
        </w:rPr>
        <w:t>= ВкладНР</w:t>
      </w:r>
      <w:r>
        <w:rPr>
          <w:rFonts w:ascii="PT Astra Serif" w:hAnsi="PT Astra Serif"/>
          <w:sz w:val="20"/>
          <w:szCs w:val="20"/>
        </w:rPr>
        <w:t xml:space="preserve">факт </w:t>
      </w:r>
      <w:r>
        <w:rPr>
          <w:rFonts w:ascii="PT Astra Serif" w:hAnsi="PT Astra Serif"/>
          <w:sz w:val="28"/>
          <w:szCs w:val="28"/>
        </w:rPr>
        <w:t>/ ОбъемНР,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где: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0"/>
          <w:szCs w:val="20"/>
        </w:rPr>
        <w:t>бюдж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0"/>
          <w:szCs w:val="20"/>
        </w:rPr>
        <w:t>рез</w:t>
      </w:r>
      <w:r>
        <w:rPr>
          <w:rFonts w:ascii="PT Astra Serif" w:hAnsi="PT Astra Serif"/>
          <w:sz w:val="28"/>
          <w:szCs w:val="28"/>
        </w:rPr>
        <w:t xml:space="preserve"> – коэффициент бюджетной результативности для налогового расхода;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ВкладНР</w:t>
      </w:r>
      <w:r>
        <w:rPr>
          <w:rFonts w:ascii="PT Astra Serif" w:hAnsi="PT Astra Serif"/>
          <w:sz w:val="20"/>
          <w:szCs w:val="20"/>
        </w:rPr>
        <w:t>факт</w:t>
      </w:r>
      <w:r>
        <w:rPr>
          <w:rFonts w:ascii="PT Astra Serif" w:hAnsi="PT Astra Serif"/>
          <w:sz w:val="28"/>
          <w:szCs w:val="28"/>
        </w:rPr>
        <w:t xml:space="preserve"> – фактический вклад налогового расхода в достижение целей муниципальных программ и (или) целей социально-экономической политики муниципального образования, не относящихся к муниципальным программам;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ОбъемНР – объем предоставленных налоговых расходов.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0"/>
          <w:szCs w:val="20"/>
        </w:rPr>
        <w:t>бюдж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0"/>
          <w:szCs w:val="20"/>
        </w:rPr>
        <w:t xml:space="preserve">рез альт </w:t>
      </w:r>
      <w:r>
        <w:rPr>
          <w:rFonts w:ascii="PT Astra Serif" w:hAnsi="PT Astra Serif"/>
          <w:sz w:val="28"/>
          <w:szCs w:val="28"/>
        </w:rPr>
        <w:t>= Вклад</w:t>
      </w:r>
      <w:r>
        <w:rPr>
          <w:rFonts w:ascii="PT Astra Serif" w:hAnsi="PT Astra Serif"/>
          <w:sz w:val="20"/>
          <w:szCs w:val="20"/>
        </w:rPr>
        <w:t xml:space="preserve">АльтМех </w:t>
      </w:r>
      <w:r>
        <w:rPr>
          <w:rFonts w:ascii="PT Astra Serif" w:hAnsi="PT Astra Serif"/>
          <w:sz w:val="28"/>
          <w:szCs w:val="28"/>
        </w:rPr>
        <w:t>/ Объем</w:t>
      </w:r>
      <w:r>
        <w:rPr>
          <w:rFonts w:ascii="PT Astra Serif" w:hAnsi="PT Astra Serif"/>
          <w:sz w:val="20"/>
          <w:szCs w:val="20"/>
        </w:rPr>
        <w:t>РасхАльт,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где: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0"/>
          <w:szCs w:val="20"/>
        </w:rPr>
        <w:t>бюдж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0"/>
          <w:szCs w:val="20"/>
        </w:rPr>
        <w:t xml:space="preserve">рез альт </w:t>
      </w:r>
      <w:r>
        <w:rPr>
          <w:rFonts w:ascii="PT Astra Serif" w:hAnsi="PT Astra Serif"/>
          <w:sz w:val="28"/>
          <w:szCs w:val="28"/>
        </w:rPr>
        <w:t xml:space="preserve">– коэффициент бюджетной результативности                                    для альтернативных механизмов достижения целей муниципальных программ      и (или) целей социально-экономической политики муниципального образования, не относящихся к муниципальным программам;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Вклад</w:t>
      </w:r>
      <w:r>
        <w:rPr>
          <w:rFonts w:ascii="PT Astra Serif" w:hAnsi="PT Astra Serif"/>
          <w:sz w:val="20"/>
          <w:szCs w:val="20"/>
        </w:rPr>
        <w:t>АльтМех</w:t>
      </w:r>
      <w:r>
        <w:rPr>
          <w:rFonts w:ascii="PT Astra Serif" w:hAnsi="PT Astra Serif"/>
          <w:sz w:val="28"/>
          <w:szCs w:val="28"/>
        </w:rPr>
        <w:t xml:space="preserve"> – вклад расходов бюджета (альтернативных механизмов)              для достижения целей муниципальных программ и (или) целей социально-экономической политики муниципального образования, не относящихся                          к муниципальным программам;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Объем</w:t>
      </w:r>
      <w:r>
        <w:rPr>
          <w:rFonts w:ascii="PT Astra Serif" w:hAnsi="PT Astra Serif"/>
          <w:sz w:val="20"/>
          <w:szCs w:val="20"/>
        </w:rPr>
        <w:t>РасхАльт</w:t>
      </w:r>
      <w:r>
        <w:rPr>
          <w:rFonts w:ascii="PT Astra Serif" w:hAnsi="PT Astra Serif"/>
          <w:sz w:val="28"/>
          <w:szCs w:val="28"/>
        </w:rPr>
        <w:t xml:space="preserve"> – объем расходов бюджета муниципального образования                   в рамках соответствующего альтернативного механизма финансирования                      для достижения целей муниципальных программ и (или) целей социально-экономической политики муниципального образования, не относящихся                            к муниципальным программам.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качестве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 могут учитываться в том числе:</w:t>
      </w:r>
    </w:p>
    <w:p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субсидии или иные формы непосредственной финансовой поддержки плательщиков, имеющих право на льготы, за счет средств бюджета муниципального образования;</w:t>
      </w:r>
    </w:p>
    <w:p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>
      <w:pPr>
        <w:pStyle w:val="a3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Куратором налогового расхода формулируется вывод о наиболее эффективном способе предоставления муниципальной поддержки                              для достижения показателя (индикатора) муниципальной программы и (или) цели социально-экономической политики муниципального образования,                          не относящейся к муниципальным программам, на значение которого будет оказывать влияние льгота.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итогам оценки эффективности налогового расхода куратор налогового расхода формулирует выводы о достижении целевых характеристик налогового расхода, вкладе налогового расхода в достижение целей муниципальной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бюджета муниципального образования)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                                                                                                     к муниципальным программам.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Результаты оценки эффективности налоговых расходов, включая предложения с обоснованием необходимости сохранения, уточнения, отмены льготы для плательщиков, обуславливающей налоговый расход, направляются кураторами налоговых расходов по форме согласно приложению № 2                                                к настоящему Порядку в Департамент финансов в сроки, указанные в пункте 1.11 настоящего Порядка.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целях установления, уточнения (изменения), отмены льгот кураторами налоговых расходов в срок до 01 июля в Департамент финансов направляются:</w:t>
      </w:r>
    </w:p>
    <w:p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предложение об установлении (уточнении) на территории муниципального образования льготы и сроке действия планируемой                                      к установлению (уточнению) льготы;</w:t>
      </w:r>
    </w:p>
    <w:p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целесообразности установления (уточнения) льготы, то есть определение цели муниципальной программы (подпрограммы муниципальной программы) и (или) цели социально-экономической политики муниципального образования, не относящейся к муниципальной программе, на достижение которой направлено установление льготы;</w:t>
      </w:r>
    </w:p>
    <w:p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определение показателя (индикатора) достижения цели муниципальной программы и (или) цели социально-экономической политики </w:t>
      </w:r>
      <w:r>
        <w:rPr>
          <w:rFonts w:ascii="PT Astra Serif" w:hAnsi="PT Astra Serif"/>
          <w:sz w:val="28"/>
          <w:szCs w:val="28"/>
        </w:rPr>
        <w:lastRenderedPageBreak/>
        <w:t>муниципального образования, не относящейся к муниципальным программам, на значение которого будет оказывать влияние льгота;</w:t>
      </w:r>
    </w:p>
    <w:p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расчет налоговых расходов в результате установления (уточнения) льгот не менее чем за три налоговых периода;</w:t>
      </w:r>
    </w:p>
    <w:p>
      <w:pPr>
        <w:pStyle w:val="a3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социально-экономические последствия установления, уточнения (изменения) льготы.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IV. Порядок обобщения результатов оценки эффективности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налоговых расходов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Департамент финансов в срок до 25 августа текущего финансового года формирует оценку эффективности налоговых расходов на основании информации, представленной кураторами налоговых расходов.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На основании информации, предусмотренной пунктом 1.11 настоящего Порядка, а также учитывая информацию, предоставленную                           в соответствии с пунктом 1.19 настоящего Порядка, Департамент финансов, при необходимости, подготавливает предложения об установлении, уточнении (изменении), отмене льготы и направляет их на рассмотрение </w:t>
      </w:r>
      <w:r>
        <w:rPr>
          <w:rFonts w:ascii="PT Astra Serif" w:eastAsia="Times New Roman" w:hAnsi="PT Astra Serif"/>
          <w:sz w:val="28"/>
          <w:szCs w:val="28"/>
          <w:lang w:eastAsia="ru-RU"/>
        </w:rPr>
        <w:t>комиссии                                 по бюджетным проектировкам на очередной финансовый год и плановый период.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Результаты оценки налоговых расходов направляются кураторам налоговых расходов и заинтересованным органам местного самоуправления.</w:t>
      </w: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Результаты оценки налоговых расходов учитываются                                      при формировании основных направлений бюджетной и налоговой политики муниципального образования, а также при проведении оценки эффективности реализации муниципальных программ.</w:t>
      </w:r>
      <w:r>
        <w:rPr>
          <w:rFonts w:ascii="PT Astra Serif" w:hAnsi="PT Astra Serif"/>
          <w:sz w:val="28"/>
          <w:szCs w:val="28"/>
        </w:rPr>
        <w:cr/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9373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72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58D2CC2"/>
    <w:multiLevelType w:val="hybridMultilevel"/>
    <w:tmpl w:val="A65C97AC"/>
    <w:lvl w:ilvl="0" w:tplc="4766A0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6470C1E"/>
    <w:multiLevelType w:val="hybridMultilevel"/>
    <w:tmpl w:val="BE429C88"/>
    <w:lvl w:ilvl="0" w:tplc="2112F2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6692057"/>
    <w:multiLevelType w:val="hybridMultilevel"/>
    <w:tmpl w:val="BB94C90C"/>
    <w:lvl w:ilvl="0" w:tplc="4766A0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C414BE1"/>
    <w:multiLevelType w:val="hybridMultilevel"/>
    <w:tmpl w:val="0B32CBA4"/>
    <w:lvl w:ilvl="0" w:tplc="18306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9704D3"/>
    <w:multiLevelType w:val="hybridMultilevel"/>
    <w:tmpl w:val="0FA8260E"/>
    <w:lvl w:ilvl="0" w:tplc="791A7BF6">
      <w:start w:val="1"/>
      <w:numFmt w:val="decimal"/>
      <w:lvlText w:val="%1.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810C1F"/>
    <w:multiLevelType w:val="multilevel"/>
    <w:tmpl w:val="3A1C907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16F61DE7"/>
    <w:multiLevelType w:val="hybridMultilevel"/>
    <w:tmpl w:val="AFE8EE46"/>
    <w:lvl w:ilvl="0" w:tplc="4766A0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8727F6C"/>
    <w:multiLevelType w:val="multilevel"/>
    <w:tmpl w:val="3A1C907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1D366639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1E431F44"/>
    <w:multiLevelType w:val="hybridMultilevel"/>
    <w:tmpl w:val="57F0FCC6"/>
    <w:lvl w:ilvl="0" w:tplc="4766A0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14F095B"/>
    <w:multiLevelType w:val="hybridMultilevel"/>
    <w:tmpl w:val="49CEB3E4"/>
    <w:lvl w:ilvl="0" w:tplc="4766A0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16D7855"/>
    <w:multiLevelType w:val="hybridMultilevel"/>
    <w:tmpl w:val="400428E6"/>
    <w:lvl w:ilvl="0" w:tplc="3B70CBBA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26177BD8"/>
    <w:multiLevelType w:val="hybridMultilevel"/>
    <w:tmpl w:val="34E6BA2C"/>
    <w:lvl w:ilvl="0" w:tplc="236C4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6C03B2E"/>
    <w:multiLevelType w:val="hybridMultilevel"/>
    <w:tmpl w:val="0D42DFB2"/>
    <w:lvl w:ilvl="0" w:tplc="CBE4A5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28A31D1B"/>
    <w:multiLevelType w:val="hybridMultilevel"/>
    <w:tmpl w:val="75E2E3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D0C22BE"/>
    <w:multiLevelType w:val="hybridMultilevel"/>
    <w:tmpl w:val="700C010E"/>
    <w:lvl w:ilvl="0" w:tplc="D1927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E028F"/>
    <w:multiLevelType w:val="multilevel"/>
    <w:tmpl w:val="3A1C907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483C6693"/>
    <w:multiLevelType w:val="hybridMultilevel"/>
    <w:tmpl w:val="E8E8A312"/>
    <w:lvl w:ilvl="0" w:tplc="8B6C25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F44FE7"/>
    <w:multiLevelType w:val="hybridMultilevel"/>
    <w:tmpl w:val="3566F6BC"/>
    <w:lvl w:ilvl="0" w:tplc="92B238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9F5764A"/>
    <w:multiLevelType w:val="hybridMultilevel"/>
    <w:tmpl w:val="2D78A1A8"/>
    <w:lvl w:ilvl="0" w:tplc="AEF454F8">
      <w:start w:val="1"/>
      <w:numFmt w:val="decimal"/>
      <w:lvlText w:val="%1)"/>
      <w:lvlJc w:val="left"/>
      <w:pPr>
        <w:ind w:left="133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22E047E"/>
    <w:multiLevelType w:val="hybridMultilevel"/>
    <w:tmpl w:val="0C10302A"/>
    <w:lvl w:ilvl="0" w:tplc="44DAD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E787F"/>
    <w:multiLevelType w:val="hybridMultilevel"/>
    <w:tmpl w:val="94564E92"/>
    <w:lvl w:ilvl="0" w:tplc="9AE6D7E8">
      <w:start w:val="1"/>
      <w:numFmt w:val="decimal"/>
      <w:lvlText w:val="%1."/>
      <w:lvlJc w:val="left"/>
      <w:pPr>
        <w:ind w:left="786" w:hanging="360"/>
      </w:pPr>
      <w:rPr>
        <w:rFonts w:ascii="PT Astra Serif" w:hAnsi="PT Astra Serif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F30E93"/>
    <w:multiLevelType w:val="multilevel"/>
    <w:tmpl w:val="3A1C907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5D332BA5"/>
    <w:multiLevelType w:val="hybridMultilevel"/>
    <w:tmpl w:val="122444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6028203F"/>
    <w:multiLevelType w:val="multilevel"/>
    <w:tmpl w:val="827679C6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2A52BA1"/>
    <w:multiLevelType w:val="hybridMultilevel"/>
    <w:tmpl w:val="1062E55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62FD47AE"/>
    <w:multiLevelType w:val="hybridMultilevel"/>
    <w:tmpl w:val="36A4C23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78F777BA"/>
    <w:multiLevelType w:val="multilevel"/>
    <w:tmpl w:val="D21E441A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9">
    <w:nsid w:val="7BD44D0F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0">
    <w:nsid w:val="7F5543D3"/>
    <w:multiLevelType w:val="hybridMultilevel"/>
    <w:tmpl w:val="E5E63566"/>
    <w:lvl w:ilvl="0" w:tplc="A04E3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25"/>
  </w:num>
  <w:num w:numId="5">
    <w:abstractNumId w:val="28"/>
  </w:num>
  <w:num w:numId="6">
    <w:abstractNumId w:val="30"/>
  </w:num>
  <w:num w:numId="7">
    <w:abstractNumId w:val="29"/>
  </w:num>
  <w:num w:numId="8">
    <w:abstractNumId w:val="0"/>
  </w:num>
  <w:num w:numId="9">
    <w:abstractNumId w:val="2"/>
  </w:num>
  <w:num w:numId="10">
    <w:abstractNumId w:val="22"/>
  </w:num>
  <w:num w:numId="11">
    <w:abstractNumId w:val="5"/>
  </w:num>
  <w:num w:numId="12">
    <w:abstractNumId w:val="4"/>
  </w:num>
  <w:num w:numId="13">
    <w:abstractNumId w:val="21"/>
  </w:num>
  <w:num w:numId="14">
    <w:abstractNumId w:val="16"/>
  </w:num>
  <w:num w:numId="15">
    <w:abstractNumId w:val="13"/>
  </w:num>
  <w:num w:numId="16">
    <w:abstractNumId w:val="19"/>
  </w:num>
  <w:num w:numId="17">
    <w:abstractNumId w:val="18"/>
  </w:num>
  <w:num w:numId="18">
    <w:abstractNumId w:val="15"/>
  </w:num>
  <w:num w:numId="19">
    <w:abstractNumId w:val="8"/>
  </w:num>
  <w:num w:numId="20">
    <w:abstractNumId w:val="10"/>
  </w:num>
  <w:num w:numId="21">
    <w:abstractNumId w:val="6"/>
  </w:num>
  <w:num w:numId="22">
    <w:abstractNumId w:val="26"/>
  </w:num>
  <w:num w:numId="23">
    <w:abstractNumId w:val="20"/>
  </w:num>
  <w:num w:numId="24">
    <w:abstractNumId w:val="7"/>
  </w:num>
  <w:num w:numId="25">
    <w:abstractNumId w:val="3"/>
  </w:num>
  <w:num w:numId="26">
    <w:abstractNumId w:val="17"/>
  </w:num>
  <w:num w:numId="27">
    <w:abstractNumId w:val="27"/>
  </w:num>
  <w:num w:numId="28">
    <w:abstractNumId w:val="24"/>
  </w:num>
  <w:num w:numId="29">
    <w:abstractNumId w:val="11"/>
  </w:num>
  <w:num w:numId="30">
    <w:abstractNumId w:val="23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9A62AE-6EE4-4828-AB92-D73104D2F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Pr>
      <w:rFonts w:ascii="Courier New" w:hAnsi="Courier New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styleId="a6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eastAsia="en-US"/>
    </w:rPr>
  </w:style>
  <w:style w:type="table" w:styleId="ab">
    <w:name w:val="Table Grid"/>
    <w:basedOn w:val="a1"/>
    <w:unhideWhenUsed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624A3-F4F2-4449-B16E-CCEE3002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3086</TotalTime>
  <Pages>8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 Ковалевская</dc:creator>
  <cp:lastModifiedBy>Фадеева Алена Михайловна</cp:lastModifiedBy>
  <cp:revision>61</cp:revision>
  <cp:lastPrinted>2020-09-14T12:23:00Z</cp:lastPrinted>
  <dcterms:created xsi:type="dcterms:W3CDTF">2019-11-25T12:39:00Z</dcterms:created>
  <dcterms:modified xsi:type="dcterms:W3CDTF">2020-09-14T12:23:00Z</dcterms:modified>
</cp:coreProperties>
</file>